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72" w:rsidRPr="00842E72" w:rsidRDefault="00842E72" w:rsidP="00842E7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72B4D"/>
          <w:sz w:val="21"/>
          <w:szCs w:val="21"/>
        </w:rPr>
      </w:pPr>
      <w:bookmarkStart w:id="0" w:name="_GoBack"/>
      <w:bookmarkEnd w:id="0"/>
      <w:r w:rsidRPr="00842E72">
        <w:rPr>
          <w:b/>
          <w:bCs/>
        </w:rPr>
        <w:t>Modifications to the DIS Summaries Lists Report to Display FDA approval information and Drug Type information (</w:t>
      </w:r>
      <w:hyperlink r:id="rId5" w:history="1">
        <w:r w:rsidRPr="00842E72">
          <w:rPr>
            <w:rFonts w:ascii="Segoe UI" w:eastAsia="Times New Roman" w:hAnsi="Segoe UI" w:cs="Segoe UI"/>
            <w:b/>
            <w:bCs/>
            <w:color w:val="0065FF"/>
            <w:sz w:val="21"/>
            <w:szCs w:val="21"/>
            <w:u w:val="single"/>
          </w:rPr>
          <w:t>OCECDR-4878</w:t>
        </w:r>
      </w:hyperlink>
      <w:r w:rsidRPr="00842E72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)</w:t>
      </w:r>
    </w:p>
    <w:p w:rsidR="00842E72" w:rsidRDefault="00842E72" w:rsidP="00842E7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F17D61" w:rsidRPr="00842E72" w:rsidRDefault="00842E72" w:rsidP="00842E7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>
        <w:t>Here’s a screenshot of the current report interface:</w:t>
      </w:r>
      <w:r>
        <w:rPr>
          <w:noProof/>
        </w:rPr>
        <w:drawing>
          <wp:inline distT="0" distB="0" distL="0" distR="0" wp14:anchorId="0200914B" wp14:editId="0159BA28">
            <wp:extent cx="4913480" cy="20669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046" t="18645" r="28525" b="47073"/>
                    <a:stretch/>
                  </pic:blipFill>
                  <pic:spPr bwMode="auto">
                    <a:xfrm>
                      <a:off x="0" y="0"/>
                      <a:ext cx="4934838" cy="207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E72" w:rsidRDefault="00842E72"/>
    <w:p w:rsidR="00842E72" w:rsidRDefault="00842E72" w:rsidP="00842E72">
      <w:r>
        <w:t>To this interface, we would like to add the following options:</w:t>
      </w:r>
    </w:p>
    <w:p w:rsidR="00842E72" w:rsidRDefault="00842E72" w:rsidP="00842E72">
      <w:pPr>
        <w:pStyle w:val="ListParagraph"/>
        <w:numPr>
          <w:ilvl w:val="0"/>
          <w:numId w:val="1"/>
        </w:numPr>
      </w:pPr>
      <w:r>
        <w:t xml:space="preserve">In a new box labeled </w:t>
      </w:r>
      <w:r w:rsidRPr="00842E72">
        <w:rPr>
          <w:b/>
          <w:bCs/>
        </w:rPr>
        <w:t>Select FDA Approval Status</w:t>
      </w:r>
      <w:r>
        <w:t xml:space="preserve">, please add “Accelerated approval” and “Approved in children”. These checkboxes </w:t>
      </w:r>
      <w:r w:rsidR="009D0A1C">
        <w:t xml:space="preserve">(unselected by default) </w:t>
      </w:r>
      <w:r>
        <w:t>should limit the results to only those with the accelerated approval and/or approved in children attributes on the FDA approval element in the DIS.</w:t>
      </w:r>
    </w:p>
    <w:p w:rsidR="00842E72" w:rsidRDefault="00842E72" w:rsidP="00842E72">
      <w:pPr>
        <w:pStyle w:val="ListParagraph"/>
      </w:pPr>
    </w:p>
    <w:p w:rsidR="00842E72" w:rsidRDefault="00842E72" w:rsidP="00842E72">
      <w:pPr>
        <w:pStyle w:val="ListParagraph"/>
        <w:numPr>
          <w:ilvl w:val="0"/>
          <w:numId w:val="1"/>
        </w:numPr>
      </w:pPr>
      <w:r>
        <w:t xml:space="preserve">Within the </w:t>
      </w:r>
      <w:r w:rsidRPr="00842E72">
        <w:rPr>
          <w:b/>
          <w:bCs/>
        </w:rPr>
        <w:t>Options</w:t>
      </w:r>
      <w:r>
        <w:t xml:space="preserve"> section, please add a new option to “Include FDA Approval Information”. If this is selected</w:t>
      </w:r>
      <w:r w:rsidR="009D0A1C">
        <w:t xml:space="preserve"> (please leave this option unselected by default)</w:t>
      </w:r>
      <w:r>
        <w:t>, we’d like to add two new columns to the report:</w:t>
      </w:r>
    </w:p>
    <w:p w:rsidR="00842E72" w:rsidRDefault="00842E72" w:rsidP="00842E72">
      <w:pPr>
        <w:pStyle w:val="ListParagraph"/>
        <w:numPr>
          <w:ilvl w:val="1"/>
          <w:numId w:val="1"/>
        </w:numPr>
      </w:pPr>
      <w:r w:rsidRPr="00842E72">
        <w:rPr>
          <w:b/>
          <w:bCs/>
        </w:rPr>
        <w:t>Accelerated</w:t>
      </w:r>
      <w:r>
        <w:t xml:space="preserve"> (with “Yes” in the row beside drugs that have the accelerated approval attribute in the DIS).</w:t>
      </w:r>
    </w:p>
    <w:p w:rsidR="00842E72" w:rsidRDefault="00842E72" w:rsidP="00842E72">
      <w:pPr>
        <w:pStyle w:val="ListParagraph"/>
        <w:numPr>
          <w:ilvl w:val="1"/>
          <w:numId w:val="1"/>
        </w:numPr>
      </w:pPr>
      <w:r w:rsidRPr="00842E72">
        <w:rPr>
          <w:b/>
          <w:bCs/>
        </w:rPr>
        <w:t>Approved in Children</w:t>
      </w:r>
      <w:r>
        <w:t xml:space="preserve"> (with “Yes” in the row beside drugs that have the approved in children attribute in the DIS).</w:t>
      </w:r>
    </w:p>
    <w:p w:rsidR="00842E72" w:rsidRDefault="00842E72" w:rsidP="00842E72">
      <w:pPr>
        <w:pStyle w:val="ListParagraph"/>
        <w:ind w:left="1440"/>
      </w:pPr>
    </w:p>
    <w:p w:rsidR="00842E72" w:rsidRDefault="00842E72" w:rsidP="00842E72">
      <w:pPr>
        <w:pStyle w:val="ListParagraph"/>
        <w:numPr>
          <w:ilvl w:val="0"/>
          <w:numId w:val="1"/>
        </w:numPr>
      </w:pPr>
      <w:r>
        <w:t xml:space="preserve">In a new box labeled </w:t>
      </w:r>
      <w:r>
        <w:rPr>
          <w:b/>
          <w:bCs/>
        </w:rPr>
        <w:t>Drug Type</w:t>
      </w:r>
      <w:r>
        <w:t xml:space="preserve">, please add a picklist with each of the values of the new Drug Type element listed. One or more drug types could be chosen from the list. </w:t>
      </w:r>
      <w:r w:rsidR="00F45234">
        <w:t xml:space="preserve">No types should be selected by default. </w:t>
      </w:r>
      <w:r w:rsidR="009D0A1C">
        <w:t xml:space="preserve">These values are listed below. Selecting a type(s) will limit the results of the report to DIS of that type(s). </w:t>
      </w:r>
      <w:r w:rsidR="00F45234">
        <w:t xml:space="preserve">Please add a column labeled “Drug Type” with the type(s) listed in the row beside each DIS. 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Chemotherapy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Hormone therapy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Immunotherapy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Targeted therapy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Radiotherapeutic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Supportive care therapy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proofErr w:type="spellStart"/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Antiangiogenesis</w:t>
      </w:r>
      <w:proofErr w:type="spellEnd"/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 xml:space="preserve"> agent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lastRenderedPageBreak/>
        <w:t>Cancer treatment vaccine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Cancer prevention vaccine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CAR T-cell therapy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Enzyme inhibitor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Immune checkpoint inhibitor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Monoclonal antibody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Small-molecule drug</w:t>
      </w:r>
    </w:p>
    <w:p w:rsidR="009D0A1C" w:rsidRPr="009D0A1C" w:rsidRDefault="009D0A1C" w:rsidP="009D0A1C">
      <w:pPr>
        <w:shd w:val="clear" w:color="auto" w:fill="F4F5F7"/>
        <w:spacing w:before="100" w:beforeAutospacing="1" w:after="100" w:afterAutospacing="1" w:line="240" w:lineRule="auto"/>
        <w:ind w:left="720"/>
        <w:contextualSpacing/>
        <w:rPr>
          <w:rFonts w:ascii="Segoe UI" w:eastAsia="Times New Roman" w:hAnsi="Segoe UI" w:cs="Segoe UI"/>
          <w:color w:val="172B4D"/>
          <w:sz w:val="21"/>
          <w:szCs w:val="21"/>
        </w:rPr>
      </w:pPr>
      <w:r w:rsidRPr="009D0A1C">
        <w:rPr>
          <w:rFonts w:ascii="Segoe UI" w:eastAsia="Times New Roman" w:hAnsi="Segoe UI" w:cs="Segoe UI"/>
          <w:color w:val="172B4D"/>
          <w:sz w:val="21"/>
          <w:szCs w:val="21"/>
        </w:rPr>
        <w:t>Other</w:t>
      </w:r>
    </w:p>
    <w:p w:rsidR="009D0A1C" w:rsidRDefault="009D0A1C" w:rsidP="009D0A1C"/>
    <w:p w:rsidR="00842E72" w:rsidRDefault="00842E72" w:rsidP="00842E72"/>
    <w:sectPr w:rsidR="00842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9557F"/>
    <w:multiLevelType w:val="multilevel"/>
    <w:tmpl w:val="58B4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A3E"/>
    <w:multiLevelType w:val="multilevel"/>
    <w:tmpl w:val="C3E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04E27"/>
    <w:multiLevelType w:val="hybridMultilevel"/>
    <w:tmpl w:val="5434A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72"/>
    <w:rsid w:val="00097926"/>
    <w:rsid w:val="00842E72"/>
    <w:rsid w:val="009D0A1C"/>
    <w:rsid w:val="00F17D61"/>
    <w:rsid w:val="00F4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AD8AB-4250-49CB-B778-0A312A1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72"/>
    <w:pPr>
      <w:ind w:left="720"/>
      <w:contextualSpacing/>
    </w:pPr>
  </w:style>
  <w:style w:type="table" w:styleId="TableGrid">
    <w:name w:val="Table Grid"/>
    <w:basedOn w:val="TableNormal"/>
    <w:uiPriority w:val="39"/>
    <w:rsid w:val="0084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acker.nci.nih.gov/browse/OCECDR-48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Juthe, Robin (NIH/NCI) [E]</dc:creator>
  <cp:keywords/>
  <dc:description/>
  <cp:lastModifiedBy>Juthe, Robin (NIH/NCI) [E]</cp:lastModifiedBy>
  <cp:revision>2</cp:revision>
  <dcterms:created xsi:type="dcterms:W3CDTF">2020-09-24T15:47:00Z</dcterms:created>
  <dcterms:modified xsi:type="dcterms:W3CDTF">2020-09-24T15:47:00Z</dcterms:modified>
</cp:coreProperties>
</file>